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AD" w:rsidRDefault="00E801AD" w:rsidP="00E801AD">
      <w:pPr>
        <w:pStyle w:val="En-tte"/>
        <w:jc w:val="center"/>
        <w:rPr>
          <w:b/>
          <w:bCs/>
          <w:i/>
          <w:iCs/>
          <w:color w:val="3366FF"/>
          <w:sz w:val="28"/>
        </w:rPr>
      </w:pPr>
      <w:r>
        <w:rPr>
          <w:b/>
          <w:bCs/>
          <w:i/>
          <w:iCs/>
          <w:noProof/>
          <w:color w:val="3366FF"/>
          <w:sz w:val="20"/>
        </w:rPr>
        <w:drawing>
          <wp:anchor distT="0" distB="0" distL="114300" distR="114300" simplePos="0" relativeHeight="251674624" behindDoc="0" locked="0" layoutInCell="1" allowOverlap="1">
            <wp:simplePos x="0" y="0"/>
            <wp:positionH relativeFrom="column">
              <wp:posOffset>-279593</wp:posOffset>
            </wp:positionH>
            <wp:positionV relativeFrom="paragraph">
              <wp:posOffset>-510181</wp:posOffset>
            </wp:positionV>
            <wp:extent cx="1137036" cy="1192696"/>
            <wp:effectExtent l="0" t="0" r="6350" b="762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7036" cy="1192696"/>
                    </a:xfrm>
                    <a:prstGeom prst="rect">
                      <a:avLst/>
                    </a:prstGeom>
                    <a:noFill/>
                  </pic:spPr>
                </pic:pic>
              </a:graphicData>
            </a:graphic>
            <wp14:sizeRelH relativeFrom="page">
              <wp14:pctWidth>0</wp14:pctWidth>
            </wp14:sizeRelH>
            <wp14:sizeRelV relativeFrom="page">
              <wp14:pctHeight>0</wp14:pctHeight>
            </wp14:sizeRelV>
          </wp:anchor>
        </w:drawing>
      </w:r>
      <w:r>
        <w:rPr>
          <w:b/>
          <w:bCs/>
          <w:i/>
          <w:iCs/>
          <w:color w:val="3366FF"/>
          <w:sz w:val="28"/>
        </w:rPr>
        <w:t xml:space="preserve">                Syndicat national de l’encadrement                          </w:t>
      </w:r>
    </w:p>
    <w:p w:rsidR="00E801AD" w:rsidRDefault="00E801AD" w:rsidP="00E801AD">
      <w:pPr>
        <w:pStyle w:val="En-tte"/>
        <w:tabs>
          <w:tab w:val="clear" w:pos="4536"/>
          <w:tab w:val="center" w:pos="4535"/>
          <w:tab w:val="left" w:pos="6326"/>
        </w:tabs>
        <w:rPr>
          <w:b/>
          <w:bCs/>
          <w:i/>
          <w:iCs/>
          <w:color w:val="3366FF"/>
          <w:sz w:val="28"/>
        </w:rPr>
      </w:pPr>
      <w:r>
        <w:rPr>
          <w:b/>
          <w:bCs/>
          <w:i/>
          <w:iCs/>
          <w:color w:val="0000FF"/>
        </w:rPr>
        <w:tab/>
        <w:t xml:space="preserve">                      </w:t>
      </w:r>
      <w:proofErr w:type="gramStart"/>
      <w:r>
        <w:rPr>
          <w:b/>
          <w:bCs/>
          <w:i/>
          <w:iCs/>
          <w:color w:val="3366FF"/>
          <w:sz w:val="28"/>
        </w:rPr>
        <w:t>des</w:t>
      </w:r>
      <w:proofErr w:type="gramEnd"/>
      <w:r>
        <w:rPr>
          <w:b/>
          <w:bCs/>
          <w:i/>
          <w:iCs/>
          <w:color w:val="3366FF"/>
          <w:sz w:val="28"/>
        </w:rPr>
        <w:t xml:space="preserve"> finances et de l’industrie</w:t>
      </w:r>
      <w:r>
        <w:rPr>
          <w:b/>
          <w:bCs/>
          <w:i/>
          <w:iCs/>
          <w:color w:val="3366FF"/>
          <w:sz w:val="28"/>
        </w:rPr>
        <w:tab/>
      </w:r>
    </w:p>
    <w:p w:rsidR="00592687" w:rsidRDefault="00592687" w:rsidP="00592687">
      <w:pPr>
        <w:jc w:val="both"/>
      </w:pPr>
    </w:p>
    <w:tbl>
      <w:tblPr>
        <w:tblStyle w:val="Grilledutableau"/>
        <w:tblW w:w="0" w:type="auto"/>
        <w:shd w:val="clear" w:color="auto" w:fill="C6D9F1" w:themeFill="text2" w:themeFillTint="33"/>
        <w:tblLook w:val="04A0" w:firstRow="1" w:lastRow="0" w:firstColumn="1" w:lastColumn="0" w:noHBand="0" w:noVBand="1"/>
      </w:tblPr>
      <w:tblGrid>
        <w:gridCol w:w="981"/>
      </w:tblGrid>
      <w:tr w:rsidR="00E801AD" w:rsidTr="00E801AD">
        <w:trPr>
          <w:trHeight w:val="540"/>
        </w:trPr>
        <w:tc>
          <w:tcPr>
            <w:tcW w:w="981" w:type="dxa"/>
            <w:shd w:val="clear" w:color="auto" w:fill="C6D9F1" w:themeFill="text2" w:themeFillTint="33"/>
          </w:tcPr>
          <w:p w:rsidR="00E801AD" w:rsidRDefault="00E801AD" w:rsidP="00E801AD">
            <w:pPr>
              <w:jc w:val="both"/>
              <w:rPr>
                <w:rFonts w:ascii="Century Gothic" w:hAnsi="Century Gothic" w:cs="Arial"/>
                <w:color w:val="0070C0"/>
                <w:sz w:val="18"/>
                <w:szCs w:val="18"/>
              </w:rPr>
            </w:pPr>
            <w:r>
              <w:rPr>
                <w:rFonts w:ascii="Century Gothic" w:hAnsi="Century Gothic" w:cs="Arial"/>
                <w:color w:val="0070C0"/>
                <w:sz w:val="18"/>
                <w:szCs w:val="18"/>
              </w:rPr>
              <w:t>Centrale</w:t>
            </w:r>
          </w:p>
          <w:p w:rsidR="00E801AD" w:rsidRDefault="00E801AD" w:rsidP="00E801AD">
            <w:pPr>
              <w:jc w:val="both"/>
              <w:rPr>
                <w:rFonts w:ascii="Century Gothic" w:hAnsi="Century Gothic" w:cs="Arial"/>
                <w:color w:val="0070C0"/>
                <w:sz w:val="18"/>
                <w:szCs w:val="18"/>
              </w:rPr>
            </w:pPr>
            <w:r>
              <w:rPr>
                <w:rFonts w:ascii="Century Gothic" w:hAnsi="Century Gothic" w:cs="Arial"/>
                <w:color w:val="0070C0"/>
                <w:sz w:val="18"/>
                <w:szCs w:val="18"/>
              </w:rPr>
              <w:t>finances</w:t>
            </w:r>
          </w:p>
        </w:tc>
      </w:tr>
    </w:tbl>
    <w:p w:rsidR="00997DDF" w:rsidRPr="00997DDF" w:rsidRDefault="00997DDF" w:rsidP="00E801AD">
      <w:pPr>
        <w:jc w:val="center"/>
        <w:rPr>
          <w:b/>
          <w:sz w:val="18"/>
          <w:szCs w:val="18"/>
        </w:rPr>
      </w:pPr>
    </w:p>
    <w:p w:rsidR="00E801AD" w:rsidRPr="00997DDF" w:rsidRDefault="00E801AD" w:rsidP="00AC69FD">
      <w:pPr>
        <w:spacing w:after="120"/>
        <w:jc w:val="center"/>
        <w:rPr>
          <w:b/>
          <w:sz w:val="40"/>
          <w:szCs w:val="40"/>
        </w:rPr>
      </w:pPr>
      <w:r w:rsidRPr="00997DDF">
        <w:rPr>
          <w:b/>
          <w:sz w:val="40"/>
          <w:szCs w:val="40"/>
        </w:rPr>
        <w:t>COMMUNIQUE</w:t>
      </w:r>
    </w:p>
    <w:p w:rsidR="00AC69FD" w:rsidRPr="00AC69FD" w:rsidRDefault="00AC69FD" w:rsidP="00AC69FD">
      <w:pPr>
        <w:spacing w:after="0"/>
        <w:ind w:left="-284" w:right="-426"/>
        <w:jc w:val="center"/>
        <w:rPr>
          <w:rFonts w:ascii="Arial" w:eastAsia="Calibri" w:hAnsi="Arial" w:cs="Arial"/>
          <w:b/>
          <w:color w:val="1137AF"/>
          <w:sz w:val="40"/>
          <w:szCs w:val="40"/>
        </w:rPr>
      </w:pPr>
      <w:r w:rsidRPr="00AC69FD">
        <w:rPr>
          <w:rFonts w:ascii="Arial" w:eastAsia="Calibri" w:hAnsi="Arial" w:cs="Arial"/>
          <w:b/>
          <w:color w:val="1137AF"/>
          <w:sz w:val="40"/>
          <w:szCs w:val="40"/>
        </w:rPr>
        <w:t xml:space="preserve">La CGC-Centrale </w:t>
      </w:r>
      <w:r w:rsidRPr="00AC69FD">
        <w:rPr>
          <w:rFonts w:ascii="Arial" w:eastAsia="Calibri" w:hAnsi="Arial" w:cs="Arial"/>
          <w:b/>
          <w:color w:val="1137AF"/>
          <w:sz w:val="40"/>
          <w:szCs w:val="40"/>
        </w:rPr>
        <w:t xml:space="preserve">appelle à se mobiliser </w:t>
      </w:r>
    </w:p>
    <w:p w:rsidR="00AC69FD" w:rsidRPr="00AC69FD" w:rsidRDefault="00AC69FD" w:rsidP="00AC69FD">
      <w:pPr>
        <w:spacing w:after="120"/>
        <w:ind w:left="-284" w:right="-426"/>
        <w:jc w:val="center"/>
        <w:rPr>
          <w:rFonts w:ascii="Arial" w:eastAsia="Calibri" w:hAnsi="Arial" w:cs="Arial"/>
          <w:b/>
          <w:color w:val="2614AC"/>
          <w:sz w:val="40"/>
          <w:szCs w:val="40"/>
        </w:rPr>
      </w:pPr>
      <w:r w:rsidRPr="00AC69FD">
        <w:rPr>
          <w:rFonts w:ascii="Arial" w:eastAsia="Calibri" w:hAnsi="Arial" w:cs="Arial"/>
          <w:b/>
          <w:color w:val="1137AF"/>
          <w:sz w:val="40"/>
          <w:szCs w:val="40"/>
        </w:rPr>
        <w:t xml:space="preserve"> </w:t>
      </w:r>
      <w:proofErr w:type="gramStart"/>
      <w:r w:rsidRPr="00AC69FD">
        <w:rPr>
          <w:rFonts w:ascii="Arial" w:eastAsia="Calibri" w:hAnsi="Arial" w:cs="Arial"/>
          <w:b/>
          <w:color w:val="1137AF"/>
          <w:sz w:val="40"/>
          <w:szCs w:val="40"/>
        </w:rPr>
        <w:t>le</w:t>
      </w:r>
      <w:proofErr w:type="gramEnd"/>
      <w:r w:rsidRPr="00AC69FD">
        <w:rPr>
          <w:rFonts w:ascii="Arial" w:eastAsia="Calibri" w:hAnsi="Arial" w:cs="Arial"/>
          <w:b/>
          <w:color w:val="1137AF"/>
          <w:sz w:val="40"/>
          <w:szCs w:val="40"/>
        </w:rPr>
        <w:t xml:space="preserve"> mardi 22 mai 2018</w:t>
      </w:r>
    </w:p>
    <w:p w:rsidR="00AC69FD" w:rsidRPr="00AC69FD" w:rsidRDefault="00AC69FD" w:rsidP="00AC69FD">
      <w:pPr>
        <w:spacing w:after="0"/>
        <w:ind w:left="-284" w:right="-426"/>
        <w:jc w:val="both"/>
        <w:rPr>
          <w:rFonts w:ascii="Arial" w:eastAsia="Calibri" w:hAnsi="Arial" w:cs="Arial"/>
          <w:sz w:val="24"/>
        </w:rPr>
      </w:pPr>
      <w:r>
        <w:rPr>
          <w:rFonts w:ascii="Arial" w:eastAsia="Calibri" w:hAnsi="Arial" w:cs="Arial"/>
          <w:sz w:val="24"/>
        </w:rPr>
        <w:t>La CGC-Centrale constate</w:t>
      </w:r>
      <w:r w:rsidRPr="00AC69FD">
        <w:rPr>
          <w:rFonts w:ascii="Arial" w:eastAsia="Calibri" w:hAnsi="Arial" w:cs="Arial"/>
          <w:sz w:val="24"/>
        </w:rPr>
        <w:t xml:space="preserve"> une volonté gouvernementale bloquante visant, sous couvert des projets « Action publique 2022 », à « réformer » la sphère publique par autant d’actes hostiles aux fonctionnaires, quels que soient leurs fonctions, leurs grades et leurs compétences. Pour le Gouvernement, les fonctionnaires seraient trop coûteux, trop nombreux, inefficaces, recrutés sur des critères devenus obsolètes, protégés outrageusement par leur statut, peu mobiles, trop souvent absents. C’est pourquoi,</w:t>
      </w:r>
      <w:r w:rsidRPr="00AC69FD">
        <w:rPr>
          <w:rFonts w:ascii="Arial" w:eastAsia="Calibri" w:hAnsi="Arial" w:cs="Arial"/>
          <w:b/>
          <w:sz w:val="24"/>
        </w:rPr>
        <w:t xml:space="preserve"> ils doivent payer, et l’addition n’en finit pas de s’allonger</w:t>
      </w:r>
      <w:r w:rsidRPr="00AC69FD">
        <w:rPr>
          <w:rFonts w:ascii="Arial" w:eastAsia="Calibri" w:hAnsi="Arial" w:cs="Arial"/>
          <w:sz w:val="24"/>
        </w:rPr>
        <w:t xml:space="preserve"> :</w:t>
      </w:r>
    </w:p>
    <w:p w:rsidR="00AC69FD" w:rsidRPr="00AC69FD" w:rsidRDefault="00AC69FD" w:rsidP="00AC69FD">
      <w:pPr>
        <w:numPr>
          <w:ilvl w:val="0"/>
          <w:numId w:val="3"/>
        </w:numPr>
        <w:spacing w:before="120" w:after="0"/>
        <w:ind w:right="-426"/>
        <w:jc w:val="both"/>
        <w:rPr>
          <w:rFonts w:ascii="Arial" w:eastAsia="Calibri" w:hAnsi="Arial" w:cs="Arial"/>
          <w:sz w:val="24"/>
        </w:rPr>
      </w:pPr>
      <w:r w:rsidRPr="00AC69FD">
        <w:rPr>
          <w:rFonts w:ascii="Arial" w:eastAsia="Calibri" w:hAnsi="Arial" w:cs="Arial"/>
          <w:sz w:val="24"/>
        </w:rPr>
        <w:t>augmentation annuelle du taux de cotisation retraite ;</w:t>
      </w:r>
    </w:p>
    <w:p w:rsidR="00AC69FD" w:rsidRPr="00AC69FD" w:rsidRDefault="00AC69FD" w:rsidP="00AC69FD">
      <w:pPr>
        <w:numPr>
          <w:ilvl w:val="0"/>
          <w:numId w:val="3"/>
        </w:numPr>
        <w:spacing w:after="0"/>
        <w:ind w:right="-426"/>
        <w:jc w:val="both"/>
        <w:rPr>
          <w:rFonts w:ascii="Arial" w:eastAsia="Calibri" w:hAnsi="Arial" w:cs="Arial"/>
          <w:sz w:val="24"/>
        </w:rPr>
      </w:pPr>
      <w:r w:rsidRPr="00AC69FD">
        <w:rPr>
          <w:rFonts w:ascii="Arial" w:eastAsia="Calibri" w:hAnsi="Arial" w:cs="Arial"/>
          <w:sz w:val="24"/>
        </w:rPr>
        <w:t xml:space="preserve">gel du point d’indice </w:t>
      </w:r>
      <w:r w:rsidRPr="00AC69FD">
        <w:rPr>
          <w:rFonts w:ascii="Arial" w:eastAsia="Calibri" w:hAnsi="Arial" w:cs="Arial"/>
          <w:i/>
          <w:sz w:val="24"/>
        </w:rPr>
        <w:t>ad vitam aeternam ;</w:t>
      </w:r>
    </w:p>
    <w:p w:rsidR="00AC69FD" w:rsidRPr="00AC69FD" w:rsidRDefault="00AC69FD" w:rsidP="00AC69FD">
      <w:pPr>
        <w:numPr>
          <w:ilvl w:val="0"/>
          <w:numId w:val="3"/>
        </w:numPr>
        <w:spacing w:after="0"/>
        <w:ind w:right="-426"/>
        <w:jc w:val="both"/>
        <w:rPr>
          <w:rFonts w:ascii="Arial" w:eastAsia="Calibri" w:hAnsi="Arial" w:cs="Arial"/>
          <w:sz w:val="24"/>
        </w:rPr>
      </w:pPr>
      <w:r w:rsidRPr="00AC69FD">
        <w:rPr>
          <w:rFonts w:ascii="Arial" w:eastAsia="Calibri" w:hAnsi="Arial" w:cs="Arial"/>
          <w:sz w:val="24"/>
        </w:rPr>
        <w:t>jour de carence rétabli en cas de maladie ;</w:t>
      </w:r>
    </w:p>
    <w:p w:rsidR="00AC69FD" w:rsidRPr="00AC69FD" w:rsidRDefault="00AC69FD" w:rsidP="00AC69FD">
      <w:pPr>
        <w:numPr>
          <w:ilvl w:val="0"/>
          <w:numId w:val="3"/>
        </w:numPr>
        <w:spacing w:after="0"/>
        <w:ind w:right="-426"/>
        <w:jc w:val="both"/>
        <w:rPr>
          <w:rFonts w:ascii="Arial" w:eastAsia="Calibri" w:hAnsi="Arial" w:cs="Arial"/>
          <w:sz w:val="24"/>
        </w:rPr>
      </w:pPr>
      <w:r w:rsidRPr="00AC69FD">
        <w:rPr>
          <w:rFonts w:ascii="Arial" w:eastAsia="Calibri" w:hAnsi="Arial" w:cs="Arial"/>
          <w:sz w:val="24"/>
        </w:rPr>
        <w:t>compensation non pérenne de la hausse de la CSG ;</w:t>
      </w:r>
    </w:p>
    <w:p w:rsidR="00AC69FD" w:rsidRPr="00AC69FD" w:rsidRDefault="00AC69FD" w:rsidP="00AC69FD">
      <w:pPr>
        <w:numPr>
          <w:ilvl w:val="0"/>
          <w:numId w:val="3"/>
        </w:numPr>
        <w:spacing w:after="0"/>
        <w:ind w:right="-426"/>
        <w:jc w:val="both"/>
        <w:rPr>
          <w:rFonts w:ascii="Arial" w:eastAsia="Calibri" w:hAnsi="Arial" w:cs="Arial"/>
          <w:sz w:val="24"/>
        </w:rPr>
      </w:pPr>
      <w:r w:rsidRPr="00AC69FD">
        <w:rPr>
          <w:rFonts w:ascii="Arial" w:eastAsia="Calibri" w:hAnsi="Arial" w:cs="Arial"/>
          <w:sz w:val="24"/>
        </w:rPr>
        <w:t>suspension du protocole PPCR pendant un an ;</w:t>
      </w:r>
    </w:p>
    <w:p w:rsidR="00AC69FD" w:rsidRPr="00AC69FD" w:rsidRDefault="00AC69FD" w:rsidP="00AC69FD">
      <w:pPr>
        <w:numPr>
          <w:ilvl w:val="0"/>
          <w:numId w:val="3"/>
        </w:numPr>
        <w:spacing w:after="0"/>
        <w:ind w:right="-426"/>
        <w:jc w:val="both"/>
        <w:rPr>
          <w:rFonts w:ascii="Arial" w:eastAsia="Calibri" w:hAnsi="Arial" w:cs="Arial"/>
          <w:sz w:val="24"/>
        </w:rPr>
      </w:pPr>
      <w:r w:rsidRPr="00AC69FD">
        <w:rPr>
          <w:rFonts w:ascii="Arial" w:eastAsia="Calibri" w:hAnsi="Arial" w:cs="Arial"/>
          <w:sz w:val="24"/>
        </w:rPr>
        <w:t>suppressions de postes par dizaines de milliers ;</w:t>
      </w:r>
    </w:p>
    <w:p w:rsidR="00AC69FD" w:rsidRPr="00AC69FD" w:rsidRDefault="00AC69FD" w:rsidP="00AC69FD">
      <w:pPr>
        <w:numPr>
          <w:ilvl w:val="0"/>
          <w:numId w:val="3"/>
        </w:numPr>
        <w:spacing w:after="0"/>
        <w:ind w:right="-426"/>
        <w:jc w:val="both"/>
        <w:rPr>
          <w:rFonts w:ascii="Arial" w:eastAsia="Calibri" w:hAnsi="Arial" w:cs="Arial"/>
          <w:sz w:val="24"/>
        </w:rPr>
      </w:pPr>
      <w:r w:rsidRPr="00AC69FD">
        <w:rPr>
          <w:rFonts w:ascii="Arial" w:eastAsia="Calibri" w:hAnsi="Arial" w:cs="Arial"/>
          <w:sz w:val="24"/>
        </w:rPr>
        <w:t>restructurations incessantes de services ;</w:t>
      </w:r>
    </w:p>
    <w:p w:rsidR="00AC69FD" w:rsidRPr="00AC69FD" w:rsidRDefault="00AC69FD" w:rsidP="00AC69FD">
      <w:pPr>
        <w:numPr>
          <w:ilvl w:val="0"/>
          <w:numId w:val="3"/>
        </w:numPr>
        <w:spacing w:after="0"/>
        <w:ind w:right="-426"/>
        <w:jc w:val="both"/>
        <w:rPr>
          <w:rFonts w:ascii="Arial" w:eastAsia="Calibri" w:hAnsi="Arial" w:cs="Arial"/>
          <w:sz w:val="24"/>
        </w:rPr>
      </w:pPr>
      <w:r w:rsidRPr="00AC69FD">
        <w:rPr>
          <w:rFonts w:ascii="Arial" w:eastAsia="Calibri" w:hAnsi="Arial" w:cs="Arial"/>
          <w:sz w:val="24"/>
        </w:rPr>
        <w:t>recrutement massif sous contrat ;</w:t>
      </w:r>
    </w:p>
    <w:p w:rsidR="00AC69FD" w:rsidRPr="00AC69FD" w:rsidRDefault="00AC69FD" w:rsidP="00AC69FD">
      <w:pPr>
        <w:numPr>
          <w:ilvl w:val="0"/>
          <w:numId w:val="3"/>
        </w:numPr>
        <w:spacing w:after="0"/>
        <w:ind w:right="-426"/>
        <w:jc w:val="both"/>
        <w:rPr>
          <w:rFonts w:ascii="Arial" w:eastAsia="Calibri" w:hAnsi="Arial" w:cs="Arial"/>
          <w:sz w:val="24"/>
        </w:rPr>
      </w:pPr>
      <w:r w:rsidRPr="00AC69FD">
        <w:rPr>
          <w:rFonts w:ascii="Arial" w:eastAsia="Calibri" w:hAnsi="Arial" w:cs="Arial"/>
          <w:sz w:val="24"/>
        </w:rPr>
        <w:t>menaces sur le calcul des retraites…</w:t>
      </w:r>
    </w:p>
    <w:p w:rsidR="00AC69FD" w:rsidRPr="00AC69FD" w:rsidRDefault="00AC69FD" w:rsidP="00AC69FD">
      <w:pPr>
        <w:spacing w:after="0"/>
        <w:ind w:left="-284" w:right="-426"/>
        <w:jc w:val="both"/>
        <w:rPr>
          <w:rFonts w:ascii="Arial" w:eastAsia="Calibri" w:hAnsi="Arial" w:cs="Arial"/>
          <w:sz w:val="16"/>
          <w:szCs w:val="16"/>
        </w:rPr>
      </w:pPr>
    </w:p>
    <w:p w:rsidR="00AC69FD" w:rsidRPr="00AC69FD" w:rsidRDefault="00AC69FD" w:rsidP="00AC69FD">
      <w:pPr>
        <w:spacing w:after="0"/>
        <w:ind w:left="-284" w:right="-426"/>
        <w:jc w:val="both"/>
        <w:rPr>
          <w:rFonts w:ascii="Arial" w:eastAsia="Calibri" w:hAnsi="Arial" w:cs="Arial"/>
          <w:sz w:val="24"/>
        </w:rPr>
      </w:pPr>
      <w:r w:rsidRPr="00AC69FD">
        <w:rPr>
          <w:rFonts w:ascii="Arial" w:eastAsia="Calibri" w:hAnsi="Arial" w:cs="Arial"/>
          <w:sz w:val="24"/>
        </w:rPr>
        <w:t xml:space="preserve">Qu’en est-il, à la veille du 22 mai, de cette volonté hostile ?  Elle prend maintenant la forme d’une </w:t>
      </w:r>
      <w:r w:rsidRPr="00AC69FD">
        <w:rPr>
          <w:rFonts w:ascii="Arial" w:eastAsia="Calibri" w:hAnsi="Arial" w:cs="Arial"/>
          <w:b/>
          <w:color w:val="FF0000"/>
          <w:sz w:val="24"/>
        </w:rPr>
        <w:t>remise en cause sans précédent des compétences, voire de l’existence, des instances de dialogue social</w:t>
      </w:r>
      <w:r w:rsidRPr="00AC69FD">
        <w:rPr>
          <w:rFonts w:ascii="Arial" w:eastAsia="Calibri" w:hAnsi="Arial" w:cs="Arial"/>
          <w:sz w:val="24"/>
        </w:rPr>
        <w:t xml:space="preserve">. Les </w:t>
      </w:r>
      <w:r w:rsidRPr="00AC69FD">
        <w:rPr>
          <w:rFonts w:ascii="Arial" w:eastAsia="Calibri" w:hAnsi="Arial" w:cs="Arial"/>
          <w:b/>
          <w:color w:val="FF0000"/>
          <w:sz w:val="24"/>
        </w:rPr>
        <w:t>CHSCT</w:t>
      </w:r>
      <w:r w:rsidRPr="00AC69FD">
        <w:rPr>
          <w:rFonts w:ascii="Arial" w:eastAsia="Calibri" w:hAnsi="Arial" w:cs="Arial"/>
          <w:sz w:val="24"/>
        </w:rPr>
        <w:t xml:space="preserve">, qui ont pourtant fait leurs preuves pour prévenir la sécurité et la santé au travail doivent être purement et simplement </w:t>
      </w:r>
      <w:r w:rsidRPr="00AC69FD">
        <w:rPr>
          <w:rFonts w:ascii="Arial" w:eastAsia="Calibri" w:hAnsi="Arial" w:cs="Arial"/>
          <w:b/>
          <w:color w:val="FF0000"/>
          <w:sz w:val="24"/>
        </w:rPr>
        <w:t>supprimés</w:t>
      </w:r>
      <w:r w:rsidRPr="00AC69FD">
        <w:rPr>
          <w:rFonts w:ascii="Arial" w:eastAsia="Calibri" w:hAnsi="Arial" w:cs="Arial"/>
          <w:sz w:val="24"/>
        </w:rPr>
        <w:t xml:space="preserve">. Les comités techniques, dont le rôle demeure simplement consultatif, devraient « reprendre » les compétences des CHSCT… </w:t>
      </w:r>
    </w:p>
    <w:p w:rsidR="00AC69FD" w:rsidRPr="00AC69FD" w:rsidRDefault="00AC69FD" w:rsidP="00AC69FD">
      <w:pPr>
        <w:spacing w:after="0"/>
        <w:ind w:left="-284" w:right="-426"/>
        <w:jc w:val="both"/>
        <w:rPr>
          <w:rFonts w:ascii="Arial" w:eastAsia="Calibri" w:hAnsi="Arial" w:cs="Arial"/>
          <w:sz w:val="24"/>
        </w:rPr>
      </w:pPr>
      <w:r w:rsidRPr="00AC69FD">
        <w:rPr>
          <w:rFonts w:ascii="Arial" w:eastAsia="Calibri" w:hAnsi="Arial" w:cs="Arial"/>
          <w:sz w:val="24"/>
        </w:rPr>
        <w:t xml:space="preserve">Quant aux </w:t>
      </w:r>
      <w:r w:rsidRPr="00AC69FD">
        <w:rPr>
          <w:rFonts w:ascii="Arial" w:eastAsia="Calibri" w:hAnsi="Arial" w:cs="Arial"/>
          <w:b/>
          <w:color w:val="FF0000"/>
          <w:sz w:val="24"/>
        </w:rPr>
        <w:t>CAP,  leur rôle serait réduit au contentieux</w:t>
      </w:r>
      <w:r w:rsidRPr="00AC69FD">
        <w:rPr>
          <w:rFonts w:ascii="Arial" w:eastAsia="Calibri" w:hAnsi="Arial" w:cs="Arial"/>
          <w:sz w:val="24"/>
        </w:rPr>
        <w:t xml:space="preserve">. </w:t>
      </w:r>
      <w:r w:rsidRPr="00AC69FD">
        <w:rPr>
          <w:rFonts w:ascii="Arial" w:eastAsia="Calibri" w:hAnsi="Arial" w:cs="Arial"/>
          <w:color w:val="FF0000"/>
          <w:sz w:val="24"/>
          <w:u w:val="single"/>
        </w:rPr>
        <w:t>Finies les possibilités d’évoquer et de défendre les dossiers de collègues lors des promotions !</w:t>
      </w:r>
      <w:r w:rsidRPr="00AC69FD">
        <w:rPr>
          <w:rFonts w:ascii="Arial" w:eastAsia="Calibri" w:hAnsi="Arial" w:cs="Arial"/>
          <w:sz w:val="24"/>
        </w:rPr>
        <w:t xml:space="preserve"> </w:t>
      </w:r>
    </w:p>
    <w:p w:rsidR="00AC69FD" w:rsidRPr="00AC69FD" w:rsidRDefault="00AC69FD" w:rsidP="00AC69FD">
      <w:pPr>
        <w:spacing w:after="0"/>
        <w:ind w:left="-284" w:right="-426"/>
        <w:jc w:val="both"/>
        <w:rPr>
          <w:rFonts w:ascii="Arial" w:eastAsia="Calibri" w:hAnsi="Arial" w:cs="Arial"/>
          <w:sz w:val="24"/>
        </w:rPr>
      </w:pPr>
    </w:p>
    <w:p w:rsidR="00AC69FD" w:rsidRDefault="00AC69FD" w:rsidP="00AC69FD">
      <w:pPr>
        <w:spacing w:after="0"/>
        <w:ind w:left="-284" w:right="-426"/>
        <w:jc w:val="center"/>
        <w:rPr>
          <w:rFonts w:ascii="Arial" w:eastAsia="Calibri" w:hAnsi="Arial" w:cs="Arial"/>
          <w:b/>
          <w:color w:val="0070C0"/>
          <w:sz w:val="28"/>
          <w:szCs w:val="28"/>
        </w:rPr>
      </w:pPr>
      <w:r w:rsidRPr="00AC69FD">
        <w:rPr>
          <w:rFonts w:ascii="Arial" w:eastAsia="Calibri" w:hAnsi="Arial" w:cs="Arial"/>
          <w:b/>
          <w:color w:val="0070C0"/>
          <w:sz w:val="28"/>
          <w:szCs w:val="28"/>
        </w:rPr>
        <w:t>C’est pourquoi, l</w:t>
      </w:r>
      <w:r>
        <w:rPr>
          <w:rFonts w:ascii="Arial" w:eastAsia="Calibri" w:hAnsi="Arial" w:cs="Arial"/>
          <w:b/>
          <w:color w:val="0070C0"/>
          <w:sz w:val="28"/>
          <w:szCs w:val="28"/>
        </w:rPr>
        <w:t xml:space="preserve">a CGC-Centrale appelle tous les agents </w:t>
      </w:r>
      <w:r w:rsidRPr="00AC69FD">
        <w:rPr>
          <w:rFonts w:ascii="Arial" w:eastAsia="Calibri" w:hAnsi="Arial" w:cs="Arial"/>
          <w:b/>
          <w:color w:val="0070C0"/>
          <w:sz w:val="28"/>
          <w:szCs w:val="28"/>
        </w:rPr>
        <w:t xml:space="preserve">à se mobiliser massivement le 22 mai prochain </w:t>
      </w:r>
    </w:p>
    <w:p w:rsidR="003E32C0" w:rsidRDefault="00AC69FD" w:rsidP="00AC69FD">
      <w:pPr>
        <w:ind w:left="-284" w:right="-426"/>
        <w:jc w:val="center"/>
      </w:pPr>
      <w:r w:rsidRPr="00AC69FD">
        <w:rPr>
          <w:rFonts w:ascii="Arial" w:eastAsia="Calibri" w:hAnsi="Arial" w:cs="Arial"/>
          <w:b/>
          <w:color w:val="0070C0"/>
          <w:sz w:val="28"/>
          <w:szCs w:val="28"/>
        </w:rPr>
        <w:t>pour contraindre les pouvoirs publics à réellement dialoguer et à infléchir le cours de leurs projets néfastes.</w:t>
      </w:r>
      <w:bookmarkStart w:id="0" w:name="_GoBack"/>
      <w:bookmarkEnd w:id="0"/>
      <w:r>
        <w:t xml:space="preserve"> </w:t>
      </w:r>
    </w:p>
    <w:sectPr w:rsidR="003E32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D04C0"/>
    <w:multiLevelType w:val="hybridMultilevel"/>
    <w:tmpl w:val="C4A6CB86"/>
    <w:lvl w:ilvl="0" w:tplc="27E60818">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6F931DC8"/>
    <w:multiLevelType w:val="hybridMultilevel"/>
    <w:tmpl w:val="042EB820"/>
    <w:lvl w:ilvl="0" w:tplc="42CE60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4291110"/>
    <w:multiLevelType w:val="hybridMultilevel"/>
    <w:tmpl w:val="0BB6B0BA"/>
    <w:lvl w:ilvl="0" w:tplc="D2DE25CA">
      <w:numFmt w:val="bullet"/>
      <w:lvlText w:val="-"/>
      <w:lvlJc w:val="left"/>
      <w:pPr>
        <w:ind w:left="76" w:hanging="360"/>
      </w:pPr>
      <w:rPr>
        <w:rFonts w:ascii="Arial" w:eastAsia="Calibri" w:hAnsi="Arial" w:cs="Arial"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5B3"/>
    <w:rsid w:val="00037832"/>
    <w:rsid w:val="00052F0B"/>
    <w:rsid w:val="000B322F"/>
    <w:rsid w:val="000D3AC9"/>
    <w:rsid w:val="002227F9"/>
    <w:rsid w:val="002C0167"/>
    <w:rsid w:val="002E4492"/>
    <w:rsid w:val="00362F55"/>
    <w:rsid w:val="003E32C0"/>
    <w:rsid w:val="004560B8"/>
    <w:rsid w:val="00482120"/>
    <w:rsid w:val="00495E74"/>
    <w:rsid w:val="005402AB"/>
    <w:rsid w:val="0058082B"/>
    <w:rsid w:val="00592687"/>
    <w:rsid w:val="005B2BDB"/>
    <w:rsid w:val="005B7F18"/>
    <w:rsid w:val="00623233"/>
    <w:rsid w:val="0063127A"/>
    <w:rsid w:val="0065121E"/>
    <w:rsid w:val="006A4703"/>
    <w:rsid w:val="006D709F"/>
    <w:rsid w:val="007A623F"/>
    <w:rsid w:val="00812F60"/>
    <w:rsid w:val="00821EDC"/>
    <w:rsid w:val="00861978"/>
    <w:rsid w:val="008A4070"/>
    <w:rsid w:val="008B205D"/>
    <w:rsid w:val="00997DDF"/>
    <w:rsid w:val="009B58A3"/>
    <w:rsid w:val="00A916F4"/>
    <w:rsid w:val="00AC69FD"/>
    <w:rsid w:val="00AE4A13"/>
    <w:rsid w:val="00AF69E4"/>
    <w:rsid w:val="00BA4BB4"/>
    <w:rsid w:val="00C075B3"/>
    <w:rsid w:val="00C608E8"/>
    <w:rsid w:val="00C65CCD"/>
    <w:rsid w:val="00D45BFA"/>
    <w:rsid w:val="00DB632A"/>
    <w:rsid w:val="00E801AD"/>
    <w:rsid w:val="00E94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623F"/>
    <w:pPr>
      <w:ind w:left="720"/>
      <w:contextualSpacing/>
    </w:pPr>
  </w:style>
  <w:style w:type="table" w:styleId="Grilledutableau">
    <w:name w:val="Table Grid"/>
    <w:basedOn w:val="TableauNormal"/>
    <w:uiPriority w:val="59"/>
    <w:rsid w:val="003E3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semiHidden/>
    <w:rsid w:val="00E801AD"/>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semiHidden/>
    <w:rsid w:val="00E801AD"/>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B2B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2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623F"/>
    <w:pPr>
      <w:ind w:left="720"/>
      <w:contextualSpacing/>
    </w:pPr>
  </w:style>
  <w:style w:type="table" w:styleId="Grilledutableau">
    <w:name w:val="Table Grid"/>
    <w:basedOn w:val="TableauNormal"/>
    <w:uiPriority w:val="59"/>
    <w:rsid w:val="003E3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semiHidden/>
    <w:rsid w:val="00E801AD"/>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semiHidden/>
    <w:rsid w:val="00E801AD"/>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B2B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2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1722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chalotin</dc:creator>
  <cp:lastModifiedBy>MINEFI</cp:lastModifiedBy>
  <cp:revision>2</cp:revision>
  <cp:lastPrinted>2018-03-13T14:04:00Z</cp:lastPrinted>
  <dcterms:created xsi:type="dcterms:W3CDTF">2018-05-14T13:17:00Z</dcterms:created>
  <dcterms:modified xsi:type="dcterms:W3CDTF">2018-05-14T13:17:00Z</dcterms:modified>
</cp:coreProperties>
</file>